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9064" w14:textId="64D4002D" w:rsidR="001337D4" w:rsidRPr="00A65721" w:rsidRDefault="00BF2C8A" w:rsidP="00CE5913">
      <w:pPr>
        <w:spacing w:after="0" w:line="300" w:lineRule="exact"/>
        <w:jc w:val="center"/>
        <w:rPr>
          <w:b/>
          <w:sz w:val="24"/>
          <w:u w:val="single"/>
        </w:rPr>
      </w:pPr>
      <w:r w:rsidRPr="00A65721">
        <w:rPr>
          <w:b/>
          <w:sz w:val="24"/>
          <w:u w:val="single"/>
        </w:rPr>
        <w:t>POLÍTICA DE INVESTIMENTOS P</w:t>
      </w:r>
      <w:r w:rsidR="00CE5913" w:rsidRPr="00A65721">
        <w:rPr>
          <w:b/>
          <w:sz w:val="24"/>
          <w:u w:val="single"/>
        </w:rPr>
        <w:t>RÓPRIOS</w:t>
      </w:r>
    </w:p>
    <w:p w14:paraId="066EF218" w14:textId="6D2C9362" w:rsidR="003B7CA8" w:rsidRPr="007B0497" w:rsidRDefault="00E140B6" w:rsidP="003B7CA8">
      <w:pPr>
        <w:spacing w:after="0" w:line="320" w:lineRule="exact"/>
        <w:jc w:val="center"/>
        <w:rPr>
          <w:rFonts w:cstheme="minorHAnsi"/>
          <w:b/>
          <w:sz w:val="24"/>
          <w:szCs w:val="24"/>
          <w:u w:val="single"/>
          <w:lang w:val="en-GB"/>
        </w:rPr>
      </w:pPr>
      <w:r>
        <w:rPr>
          <w:rFonts w:cstheme="minorHAnsi"/>
          <w:b/>
          <w:sz w:val="24"/>
          <w:szCs w:val="24"/>
          <w:u w:val="single"/>
          <w:lang w:val="en-GB"/>
        </w:rPr>
        <w:t>SOW CAPITAL GESTÃO DE INVESTIMENTOS LTDA.</w:t>
      </w:r>
    </w:p>
    <w:p w14:paraId="2F1ABF81" w14:textId="77777777" w:rsidR="00BF2C8A" w:rsidRPr="00D33375" w:rsidRDefault="00BF2C8A" w:rsidP="00CE5913">
      <w:pPr>
        <w:spacing w:after="0" w:line="300" w:lineRule="exact"/>
        <w:jc w:val="center"/>
        <w:rPr>
          <w:sz w:val="24"/>
        </w:rPr>
      </w:pPr>
      <w:r w:rsidRPr="00D33375">
        <w:rPr>
          <w:sz w:val="24"/>
        </w:rPr>
        <w:t>(“Sociedade”)</w:t>
      </w:r>
    </w:p>
    <w:p w14:paraId="3031838B" w14:textId="77777777" w:rsidR="00BF2C8A" w:rsidRPr="00D33375" w:rsidRDefault="00BF2C8A" w:rsidP="00CE5913">
      <w:pPr>
        <w:spacing w:after="0" w:line="300" w:lineRule="exact"/>
        <w:jc w:val="center"/>
        <w:rPr>
          <w:sz w:val="24"/>
        </w:rPr>
      </w:pPr>
    </w:p>
    <w:p w14:paraId="76903081" w14:textId="65FC4FFE" w:rsidR="00BF2C8A" w:rsidRPr="00D33375" w:rsidRDefault="00BF2C8A" w:rsidP="00CE5913">
      <w:pPr>
        <w:spacing w:after="0" w:line="300" w:lineRule="exact"/>
        <w:jc w:val="right"/>
        <w:rPr>
          <w:sz w:val="24"/>
        </w:rPr>
      </w:pPr>
      <w:bookmarkStart w:id="0" w:name="_Hlk97643468"/>
      <w:r w:rsidRPr="00D33375">
        <w:rPr>
          <w:b/>
          <w:sz w:val="24"/>
        </w:rPr>
        <w:t>Versão vigente</w:t>
      </w:r>
      <w:r w:rsidRPr="00D33375">
        <w:rPr>
          <w:sz w:val="24"/>
        </w:rPr>
        <w:t xml:space="preserve">: </w:t>
      </w:r>
      <w:r w:rsidR="00E140B6">
        <w:rPr>
          <w:rFonts w:cstheme="minorHAnsi"/>
          <w:sz w:val="24"/>
          <w:szCs w:val="24"/>
        </w:rPr>
        <w:t>08/03/2022</w:t>
      </w:r>
    </w:p>
    <w:bookmarkEnd w:id="0"/>
    <w:p w14:paraId="14A1A9DF" w14:textId="77777777" w:rsidR="00BF2C8A" w:rsidRPr="00D33375" w:rsidRDefault="00BF2C8A" w:rsidP="00CE5913">
      <w:pPr>
        <w:spacing w:after="0" w:line="300" w:lineRule="exact"/>
        <w:jc w:val="right"/>
        <w:rPr>
          <w:sz w:val="24"/>
        </w:rPr>
      </w:pPr>
    </w:p>
    <w:p w14:paraId="18FE7DCC" w14:textId="77777777" w:rsidR="00BF2C8A" w:rsidRPr="00D33375" w:rsidRDefault="00BF2C8A" w:rsidP="00CE5913">
      <w:pPr>
        <w:spacing w:after="0" w:line="300" w:lineRule="exact"/>
        <w:jc w:val="center"/>
        <w:rPr>
          <w:b/>
          <w:sz w:val="24"/>
        </w:rPr>
      </w:pPr>
      <w:r w:rsidRPr="00D33375">
        <w:rPr>
          <w:b/>
          <w:sz w:val="24"/>
        </w:rPr>
        <w:t>CAPÍTULO I</w:t>
      </w:r>
    </w:p>
    <w:p w14:paraId="762CADE8" w14:textId="77777777" w:rsidR="00BF2C8A" w:rsidRPr="00D33375" w:rsidRDefault="00BF2C8A" w:rsidP="00CE5913">
      <w:pPr>
        <w:spacing w:after="0" w:line="300" w:lineRule="exact"/>
        <w:jc w:val="center"/>
        <w:rPr>
          <w:b/>
          <w:sz w:val="24"/>
        </w:rPr>
      </w:pPr>
      <w:r w:rsidRPr="00D33375">
        <w:rPr>
          <w:b/>
          <w:sz w:val="24"/>
        </w:rPr>
        <w:t>DO OBJETIVO</w:t>
      </w:r>
    </w:p>
    <w:p w14:paraId="2B18A354" w14:textId="77777777" w:rsidR="00BF2C8A" w:rsidRPr="00D33375" w:rsidRDefault="00BF2C8A" w:rsidP="00CE5913">
      <w:pPr>
        <w:spacing w:after="0" w:line="300" w:lineRule="exact"/>
        <w:jc w:val="center"/>
        <w:rPr>
          <w:b/>
          <w:sz w:val="24"/>
        </w:rPr>
      </w:pPr>
    </w:p>
    <w:p w14:paraId="6B3EA5B4" w14:textId="77777777" w:rsidR="00BF2C8A" w:rsidRPr="00BF2C8A" w:rsidRDefault="00BF2C8A" w:rsidP="00CE5913">
      <w:pPr>
        <w:spacing w:after="0" w:line="300" w:lineRule="exact"/>
        <w:jc w:val="both"/>
        <w:rPr>
          <w:sz w:val="24"/>
        </w:rPr>
      </w:pPr>
      <w:r w:rsidRPr="00BF2C8A">
        <w:rPr>
          <w:sz w:val="24"/>
        </w:rPr>
        <w:t>1.1. O presente instrumento tem por objetivo formalizar a Política de Investimentos Próprios (“Política”) adotada pela Sociedade, a fim de evitar potenciais conflitos de interesse entre as carteiras geridas pela Sociedade e os investimentos proprietários dos colaboradores da Sociedade</w:t>
      </w:r>
      <w:r>
        <w:rPr>
          <w:sz w:val="24"/>
        </w:rPr>
        <w:t>, bem como entre aqueles realizados pela tesouraria da Sociedade no âmbito do mercado financeiro de capitais.</w:t>
      </w:r>
    </w:p>
    <w:p w14:paraId="5D67E293" w14:textId="77777777" w:rsidR="00BF2C8A" w:rsidRPr="00BF2C8A" w:rsidRDefault="00BF2C8A" w:rsidP="00CE5913">
      <w:pPr>
        <w:spacing w:after="0" w:line="300" w:lineRule="exact"/>
        <w:jc w:val="both"/>
        <w:rPr>
          <w:sz w:val="24"/>
        </w:rPr>
      </w:pPr>
    </w:p>
    <w:p w14:paraId="756C08BA" w14:textId="77777777" w:rsidR="00BF2C8A" w:rsidRPr="00BF2C8A" w:rsidRDefault="00BF2C8A" w:rsidP="00CE5913">
      <w:pPr>
        <w:spacing w:after="0" w:line="300" w:lineRule="exact"/>
        <w:jc w:val="both"/>
        <w:rPr>
          <w:sz w:val="24"/>
        </w:rPr>
      </w:pPr>
      <w:r w:rsidRPr="00BF2C8A">
        <w:rPr>
          <w:sz w:val="24"/>
        </w:rPr>
        <w:t xml:space="preserve">1.2. Deste modo, os investimentos efetuados em benefício próprio, no mercado financeiro, devem ser coordenados a fim de não interferir de forma negativa no desempenho das atividades de cada um dos colaboradores na Sociedade, sendo realizados de forma completamente segregada das operações realizadas em nome da Sociedade. </w:t>
      </w:r>
    </w:p>
    <w:p w14:paraId="4C97B3EB" w14:textId="77777777" w:rsidR="00BF2C8A" w:rsidRPr="00BF2C8A" w:rsidRDefault="00BF2C8A" w:rsidP="00CE5913">
      <w:pPr>
        <w:spacing w:after="0" w:line="300" w:lineRule="exact"/>
        <w:jc w:val="both"/>
        <w:rPr>
          <w:sz w:val="24"/>
        </w:rPr>
      </w:pPr>
    </w:p>
    <w:p w14:paraId="72DE0B05" w14:textId="77777777" w:rsidR="00BF2C8A" w:rsidRDefault="00BF2C8A" w:rsidP="00CE5913">
      <w:pPr>
        <w:spacing w:after="0" w:line="300" w:lineRule="exact"/>
        <w:jc w:val="both"/>
        <w:rPr>
          <w:sz w:val="24"/>
        </w:rPr>
      </w:pPr>
      <w:r w:rsidRPr="00BF2C8A">
        <w:rPr>
          <w:sz w:val="24"/>
        </w:rPr>
        <w:t>1.3. Toda e qualquer negociação para carteiras sob gestão da Sociedade terá prioridade sobre as operações relativas aos investimentos pessoais dos colaboradores.</w:t>
      </w:r>
    </w:p>
    <w:p w14:paraId="4B59B80D" w14:textId="77777777" w:rsidR="00BF2C8A" w:rsidRDefault="00BF2C8A" w:rsidP="00CE5913">
      <w:pPr>
        <w:spacing w:after="0" w:line="300" w:lineRule="exact"/>
        <w:jc w:val="both"/>
        <w:rPr>
          <w:sz w:val="24"/>
        </w:rPr>
      </w:pPr>
    </w:p>
    <w:p w14:paraId="4BF6A0AA" w14:textId="77777777" w:rsidR="00BF2C8A" w:rsidRDefault="00BF2C8A" w:rsidP="00CE5913">
      <w:pPr>
        <w:spacing w:after="0" w:line="300" w:lineRule="exact"/>
        <w:jc w:val="center"/>
        <w:rPr>
          <w:b/>
          <w:sz w:val="24"/>
        </w:rPr>
      </w:pPr>
      <w:r>
        <w:rPr>
          <w:b/>
          <w:sz w:val="24"/>
        </w:rPr>
        <w:t>CAPÍTULO II</w:t>
      </w:r>
    </w:p>
    <w:p w14:paraId="4F7E80B5" w14:textId="77777777" w:rsidR="00BF2C8A" w:rsidRDefault="00BF2C8A" w:rsidP="00CE5913">
      <w:pPr>
        <w:spacing w:after="0" w:line="300" w:lineRule="exact"/>
        <w:jc w:val="center"/>
        <w:rPr>
          <w:b/>
          <w:sz w:val="24"/>
        </w:rPr>
      </w:pPr>
      <w:r>
        <w:rPr>
          <w:b/>
          <w:sz w:val="24"/>
        </w:rPr>
        <w:t>DA ABRANGÊNCIA</w:t>
      </w:r>
    </w:p>
    <w:p w14:paraId="431C8F9F" w14:textId="77777777" w:rsidR="00BF2C8A" w:rsidRDefault="00BF2C8A" w:rsidP="00CE5913">
      <w:pPr>
        <w:spacing w:after="0" w:line="300" w:lineRule="exact"/>
        <w:jc w:val="center"/>
        <w:rPr>
          <w:b/>
          <w:sz w:val="24"/>
        </w:rPr>
      </w:pPr>
    </w:p>
    <w:p w14:paraId="06A67730" w14:textId="60A83C9A" w:rsidR="00BF2C8A" w:rsidRDefault="00BF2C8A" w:rsidP="00CE5913">
      <w:pPr>
        <w:spacing w:after="0" w:line="300" w:lineRule="exact"/>
        <w:jc w:val="both"/>
        <w:rPr>
          <w:sz w:val="24"/>
        </w:rPr>
      </w:pPr>
      <w:r w:rsidRPr="00BF2C8A">
        <w:rPr>
          <w:sz w:val="24"/>
        </w:rPr>
        <w:t>2.1. As diretrizes estabelecidas nesta Política devem ser observadas por todos os colaboradores da Sociedade, em especial aqueles envolvidos, direta ou indiretamente, na atividade de gestão profissional de recursos de terceiros.</w:t>
      </w:r>
    </w:p>
    <w:p w14:paraId="3B371247" w14:textId="3129D5F5" w:rsidR="00BF2C8A" w:rsidRDefault="00BF2C8A" w:rsidP="00CE5913">
      <w:pPr>
        <w:spacing w:after="0" w:line="300" w:lineRule="exact"/>
        <w:jc w:val="both"/>
        <w:rPr>
          <w:sz w:val="24"/>
        </w:rPr>
      </w:pPr>
    </w:p>
    <w:p w14:paraId="3F235794" w14:textId="084AD393" w:rsidR="00CE5913" w:rsidRPr="00BF2C8A" w:rsidRDefault="00CE5913" w:rsidP="00CE5913">
      <w:pPr>
        <w:spacing w:after="0" w:line="300" w:lineRule="exact"/>
        <w:jc w:val="both"/>
        <w:rPr>
          <w:sz w:val="24"/>
        </w:rPr>
      </w:pPr>
      <w:r>
        <w:rPr>
          <w:sz w:val="24"/>
        </w:rPr>
        <w:t xml:space="preserve">2.2. </w:t>
      </w:r>
      <w:r w:rsidRPr="00BF2C8A">
        <w:rPr>
          <w:sz w:val="24"/>
        </w:rPr>
        <w:t xml:space="preserve">Entende-se por “colaboradores”, em linha com o conceito definido pelo Código de Ética e Conduta da Sociedade: </w:t>
      </w:r>
      <w:r w:rsidRPr="004E69F5">
        <w:rPr>
          <w:sz w:val="24"/>
        </w:rPr>
        <w:t>(i) sócios; (</w:t>
      </w:r>
      <w:proofErr w:type="spellStart"/>
      <w:r w:rsidRPr="004E69F5">
        <w:rPr>
          <w:sz w:val="24"/>
        </w:rPr>
        <w:t>ii</w:t>
      </w:r>
      <w:proofErr w:type="spellEnd"/>
      <w:r w:rsidRPr="004E69F5">
        <w:rPr>
          <w:sz w:val="24"/>
        </w:rPr>
        <w:t>) diretores; (</w:t>
      </w:r>
      <w:proofErr w:type="spellStart"/>
      <w:r w:rsidRPr="004E69F5">
        <w:rPr>
          <w:sz w:val="24"/>
        </w:rPr>
        <w:t>iii</w:t>
      </w:r>
      <w:proofErr w:type="spellEnd"/>
      <w:r w:rsidRPr="004E69F5">
        <w:rPr>
          <w:sz w:val="24"/>
        </w:rPr>
        <w:t>) funcionários; (</w:t>
      </w:r>
      <w:proofErr w:type="spellStart"/>
      <w:r w:rsidRPr="004E69F5">
        <w:rPr>
          <w:sz w:val="24"/>
        </w:rPr>
        <w:t>iv</w:t>
      </w:r>
      <w:proofErr w:type="spellEnd"/>
      <w:r w:rsidRPr="004E69F5">
        <w:rPr>
          <w:sz w:val="24"/>
        </w:rPr>
        <w:t>) estagiários ou (v) quaisquer pessoas que, em virtude de seus cargos, funções ou posições na Sociedade, tenham acesso a informações confidenciais sobre a Sociedade, seus negócios ou investidores ou, ainda, aqueles que participem do processo de decisão de investimentos.</w:t>
      </w:r>
    </w:p>
    <w:p w14:paraId="2D01F511" w14:textId="445CB7D1" w:rsidR="00CE5913" w:rsidRDefault="00CE5913" w:rsidP="00CE5913">
      <w:pPr>
        <w:spacing w:after="0" w:line="300" w:lineRule="exact"/>
        <w:jc w:val="both"/>
        <w:rPr>
          <w:sz w:val="24"/>
        </w:rPr>
      </w:pPr>
    </w:p>
    <w:p w14:paraId="4AC4FD37" w14:textId="77777777" w:rsidR="00BF2C8A" w:rsidRDefault="00BF2C8A" w:rsidP="00CE5913">
      <w:pPr>
        <w:spacing w:after="0" w:line="300" w:lineRule="exact"/>
        <w:jc w:val="center"/>
        <w:rPr>
          <w:b/>
          <w:sz w:val="24"/>
        </w:rPr>
      </w:pPr>
      <w:r>
        <w:rPr>
          <w:b/>
          <w:sz w:val="24"/>
        </w:rPr>
        <w:t>CAPÍTULO III</w:t>
      </w:r>
      <w:r>
        <w:rPr>
          <w:b/>
          <w:sz w:val="24"/>
        </w:rPr>
        <w:br/>
        <w:t>DA METODOLOGIA</w:t>
      </w:r>
    </w:p>
    <w:p w14:paraId="02331581" w14:textId="77777777" w:rsidR="00BF2C8A" w:rsidRDefault="00BF2C8A" w:rsidP="00CE5913">
      <w:pPr>
        <w:spacing w:after="0" w:line="300" w:lineRule="exact"/>
        <w:jc w:val="center"/>
        <w:rPr>
          <w:b/>
          <w:sz w:val="24"/>
        </w:rPr>
      </w:pPr>
    </w:p>
    <w:p w14:paraId="7CCCA643" w14:textId="39A36DB8" w:rsidR="00BF2C8A" w:rsidRPr="00BF2C8A" w:rsidRDefault="00BF2C8A" w:rsidP="00CE5913">
      <w:pPr>
        <w:spacing w:after="0" w:line="300" w:lineRule="exact"/>
        <w:jc w:val="both"/>
        <w:rPr>
          <w:sz w:val="24"/>
        </w:rPr>
      </w:pPr>
      <w:r w:rsidRPr="00BF2C8A">
        <w:rPr>
          <w:sz w:val="24"/>
        </w:rPr>
        <w:t xml:space="preserve">3.1. </w:t>
      </w:r>
      <w:r w:rsidRPr="00E74602">
        <w:rPr>
          <w:sz w:val="24"/>
        </w:rPr>
        <w:t>Aos Colaboradores é vedado realizar operações em nome próprio envolvendo ativos que estejam nas carteiras dos fundos de investimento sob gestão, bem como os que tenham sido objeto de análise nos 6 (seis) meses antecedentes ao investimento. As decisões devem ser tomadas com base em fundamentos lógicos e analíticos, sem que, sob qualquer hipótese, possa pairar indeterminação sobre a total independência dos interesses da Sociedade e de seus colaboradores.</w:t>
      </w:r>
    </w:p>
    <w:p w14:paraId="52136595" w14:textId="77777777" w:rsidR="00BF2C8A" w:rsidRPr="00BF2C8A" w:rsidRDefault="00BF2C8A" w:rsidP="00CE5913">
      <w:pPr>
        <w:spacing w:after="0" w:line="300" w:lineRule="exact"/>
        <w:jc w:val="both"/>
        <w:rPr>
          <w:sz w:val="24"/>
        </w:rPr>
      </w:pPr>
    </w:p>
    <w:p w14:paraId="4D2CDEAB" w14:textId="77777777" w:rsidR="00BF2C8A" w:rsidRPr="00BF2C8A" w:rsidRDefault="00BF2C8A" w:rsidP="00CE5913">
      <w:pPr>
        <w:spacing w:after="0" w:line="300" w:lineRule="exact"/>
        <w:jc w:val="both"/>
        <w:rPr>
          <w:sz w:val="24"/>
        </w:rPr>
      </w:pPr>
      <w:r w:rsidRPr="00BF2C8A">
        <w:rPr>
          <w:sz w:val="24"/>
        </w:rPr>
        <w:t>3.1.1.</w:t>
      </w:r>
      <w:r w:rsidRPr="00BF2C8A">
        <w:rPr>
          <w:sz w:val="24"/>
        </w:rPr>
        <w:tab/>
      </w:r>
      <w:r w:rsidRPr="00E74602">
        <w:rPr>
          <w:sz w:val="24"/>
        </w:rPr>
        <w:t xml:space="preserve">Para fins de controle dos ativos em período de vedação pelos Colaboradores, poderão ser consultadas as carteiras dos fundos no site da CVM, mediante envio de questionamento ao Diretor de </w:t>
      </w:r>
      <w:proofErr w:type="spellStart"/>
      <w:r w:rsidRPr="00E74602">
        <w:rPr>
          <w:sz w:val="24"/>
        </w:rPr>
        <w:t>Compliance</w:t>
      </w:r>
      <w:proofErr w:type="spellEnd"/>
      <w:r w:rsidRPr="00E74602">
        <w:rPr>
          <w:sz w:val="24"/>
        </w:rPr>
        <w:t>.</w:t>
      </w:r>
    </w:p>
    <w:p w14:paraId="4D672248" w14:textId="77777777" w:rsidR="00BF2C8A" w:rsidRPr="00BF2C8A" w:rsidRDefault="00BF2C8A" w:rsidP="00CE5913">
      <w:pPr>
        <w:spacing w:after="0" w:line="300" w:lineRule="exact"/>
        <w:jc w:val="both"/>
        <w:rPr>
          <w:sz w:val="24"/>
        </w:rPr>
      </w:pPr>
    </w:p>
    <w:p w14:paraId="089B0E09" w14:textId="24146A5A" w:rsidR="00BF2C8A" w:rsidRDefault="00BF2C8A" w:rsidP="00CE5913">
      <w:pPr>
        <w:spacing w:after="0" w:line="300" w:lineRule="exact"/>
        <w:jc w:val="both"/>
        <w:rPr>
          <w:sz w:val="24"/>
        </w:rPr>
      </w:pPr>
      <w:r w:rsidRPr="00BF2C8A">
        <w:rPr>
          <w:sz w:val="24"/>
        </w:rPr>
        <w:lastRenderedPageBreak/>
        <w:t>3.2. Não há restrição quanto aos investimentos em seguros de vida e previdência, poupança, capitalização, cotas de fundos de investimento de qualquer espécie geridos por terceiros</w:t>
      </w:r>
      <w:r w:rsidR="00F37808">
        <w:rPr>
          <w:sz w:val="24"/>
        </w:rPr>
        <w:t xml:space="preserve">, salvo fundos de investimento </w:t>
      </w:r>
      <w:r w:rsidR="0019065B">
        <w:rPr>
          <w:sz w:val="24"/>
        </w:rPr>
        <w:t>em direitos creditórios</w:t>
      </w:r>
      <w:r w:rsidR="00F37808">
        <w:rPr>
          <w:sz w:val="24"/>
        </w:rPr>
        <w:t>.</w:t>
      </w:r>
      <w:r w:rsidRPr="00BF2C8A">
        <w:rPr>
          <w:sz w:val="24"/>
        </w:rPr>
        <w:t xml:space="preserve"> </w:t>
      </w:r>
      <w:r w:rsidR="00F37808">
        <w:rPr>
          <w:sz w:val="24"/>
        </w:rPr>
        <w:t xml:space="preserve">Ademais, não há restrição para </w:t>
      </w:r>
      <w:r w:rsidRPr="00BF2C8A">
        <w:rPr>
          <w:sz w:val="24"/>
        </w:rPr>
        <w:t>títulos públicos emitidos pelo governo brasileiro ou de outra jurisdição, ativos de renda fixa emitidos por instituição financeira brasileira ou de outras jurisdições e demais ativos que não representem conflito de interesses com os ativos presentes nas carteiras geridas pela Sociedade.</w:t>
      </w:r>
      <w:r w:rsidR="003A5BE1">
        <w:rPr>
          <w:sz w:val="24"/>
        </w:rPr>
        <w:t xml:space="preserve"> </w:t>
      </w:r>
    </w:p>
    <w:p w14:paraId="3F7615A2" w14:textId="77777777" w:rsidR="00BF2C8A" w:rsidRDefault="00BF2C8A" w:rsidP="00CE5913">
      <w:pPr>
        <w:spacing w:after="0" w:line="300" w:lineRule="exact"/>
        <w:jc w:val="both"/>
        <w:rPr>
          <w:sz w:val="24"/>
        </w:rPr>
      </w:pPr>
    </w:p>
    <w:p w14:paraId="3028C1B1" w14:textId="77777777" w:rsidR="00BF2C8A" w:rsidRPr="00BF2C8A" w:rsidRDefault="00BF2C8A" w:rsidP="00CE5913">
      <w:pPr>
        <w:spacing w:after="0" w:line="300" w:lineRule="exact"/>
        <w:jc w:val="both"/>
        <w:rPr>
          <w:sz w:val="24"/>
        </w:rPr>
      </w:pPr>
      <w:r w:rsidRPr="00BF2C8A">
        <w:rPr>
          <w:sz w:val="24"/>
        </w:rPr>
        <w:t xml:space="preserve">3.3. Para fins de autorização de operações em que o colaborador tenha dúvida sobre a existência de potencial conflito, bem como para aquelas excepcionais ao prazo acima estabelecido no item 3.1., o colaborador enviará um e-mail ao </w:t>
      </w:r>
      <w:proofErr w:type="spellStart"/>
      <w:r w:rsidRPr="00BF2C8A">
        <w:rPr>
          <w:sz w:val="24"/>
        </w:rPr>
        <w:t>Compliance</w:t>
      </w:r>
      <w:proofErr w:type="spellEnd"/>
      <w:r w:rsidRPr="00BF2C8A">
        <w:rPr>
          <w:sz w:val="24"/>
        </w:rPr>
        <w:t xml:space="preserve"> solicitando aprovação para a operação, cabendo ao referido departamento analisar os seguintes aspectos:</w:t>
      </w:r>
    </w:p>
    <w:p w14:paraId="269B74F9" w14:textId="77777777" w:rsidR="00BF2C8A" w:rsidRPr="00BF2C8A" w:rsidRDefault="00BF2C8A" w:rsidP="00CE5913">
      <w:pPr>
        <w:spacing w:after="0" w:line="300" w:lineRule="exact"/>
        <w:jc w:val="both"/>
        <w:rPr>
          <w:sz w:val="24"/>
        </w:rPr>
      </w:pPr>
    </w:p>
    <w:p w14:paraId="34E34DD9" w14:textId="77777777" w:rsidR="00BF2C8A" w:rsidRPr="00BF2C8A" w:rsidRDefault="00BF2C8A" w:rsidP="00CE5913">
      <w:pPr>
        <w:spacing w:after="0" w:line="300" w:lineRule="exact"/>
        <w:ind w:left="567" w:hanging="567"/>
        <w:jc w:val="both"/>
        <w:rPr>
          <w:sz w:val="24"/>
        </w:rPr>
      </w:pPr>
      <w:r w:rsidRPr="00BF2C8A">
        <w:rPr>
          <w:sz w:val="24"/>
        </w:rPr>
        <w:t>(a)</w:t>
      </w:r>
      <w:r w:rsidRPr="00BF2C8A">
        <w:rPr>
          <w:sz w:val="24"/>
        </w:rPr>
        <w:tab/>
        <w:t>se a operação pretendida poderá implicar algum prejuízo para a Sociedade ou seus investidores;</w:t>
      </w:r>
    </w:p>
    <w:p w14:paraId="0F2E4C0F" w14:textId="77777777" w:rsidR="00BF2C8A" w:rsidRPr="00BF2C8A" w:rsidRDefault="00BF2C8A" w:rsidP="00CE5913">
      <w:pPr>
        <w:spacing w:after="0" w:line="300" w:lineRule="exact"/>
        <w:ind w:left="567" w:hanging="567"/>
        <w:jc w:val="both"/>
        <w:rPr>
          <w:sz w:val="24"/>
        </w:rPr>
      </w:pPr>
    </w:p>
    <w:p w14:paraId="7E28A733" w14:textId="77777777" w:rsidR="00BF2C8A" w:rsidRPr="00BF2C8A" w:rsidRDefault="00BF2C8A" w:rsidP="00CE5913">
      <w:pPr>
        <w:spacing w:after="0" w:line="300" w:lineRule="exact"/>
        <w:ind w:left="567" w:hanging="567"/>
        <w:jc w:val="both"/>
        <w:rPr>
          <w:sz w:val="24"/>
        </w:rPr>
      </w:pPr>
      <w:r w:rsidRPr="00BF2C8A">
        <w:rPr>
          <w:sz w:val="24"/>
        </w:rPr>
        <w:t>(b)</w:t>
      </w:r>
      <w:r w:rsidRPr="00BF2C8A">
        <w:rPr>
          <w:sz w:val="24"/>
        </w:rPr>
        <w:tab/>
        <w:t>se a operação pretendida poderá, de qualquer forma, limitar a discricionariedade dos colaboradores da Sociedade na análise dos títulos e valores mobiliários e na tomada de decisão de investimentos; e</w:t>
      </w:r>
    </w:p>
    <w:p w14:paraId="78A341DD" w14:textId="77777777" w:rsidR="00BF2C8A" w:rsidRPr="00BF2C8A" w:rsidRDefault="00BF2C8A" w:rsidP="00CE5913">
      <w:pPr>
        <w:spacing w:after="0" w:line="300" w:lineRule="exact"/>
        <w:ind w:left="567" w:hanging="567"/>
        <w:jc w:val="both"/>
        <w:rPr>
          <w:sz w:val="24"/>
        </w:rPr>
      </w:pPr>
    </w:p>
    <w:p w14:paraId="2A22C2AF" w14:textId="77777777" w:rsidR="00BF2C8A" w:rsidRPr="00BF2C8A" w:rsidRDefault="00BF2C8A" w:rsidP="00CE5913">
      <w:pPr>
        <w:spacing w:after="0" w:line="300" w:lineRule="exact"/>
        <w:ind w:left="567" w:hanging="567"/>
        <w:jc w:val="both"/>
        <w:rPr>
          <w:sz w:val="24"/>
        </w:rPr>
      </w:pPr>
      <w:r w:rsidRPr="00BF2C8A">
        <w:rPr>
          <w:sz w:val="24"/>
        </w:rPr>
        <w:t>(c)</w:t>
      </w:r>
      <w:r w:rsidRPr="00BF2C8A">
        <w:rPr>
          <w:sz w:val="24"/>
        </w:rPr>
        <w:tab/>
        <w:t>reais objetivos da operação pretendida, de modo a assegurar a boa-fé do colaborador da Sociedade e manter a estrita relação fiduciária entre a Sociedade e seus investidores.</w:t>
      </w:r>
    </w:p>
    <w:p w14:paraId="12936FBF" w14:textId="77777777" w:rsidR="00BF2C8A" w:rsidRPr="00BF2C8A" w:rsidRDefault="00BF2C8A" w:rsidP="00CE5913">
      <w:pPr>
        <w:spacing w:after="0" w:line="300" w:lineRule="exact"/>
        <w:jc w:val="both"/>
        <w:rPr>
          <w:sz w:val="24"/>
        </w:rPr>
      </w:pPr>
    </w:p>
    <w:p w14:paraId="3D32A065" w14:textId="5E729E21" w:rsidR="00BF2C8A" w:rsidRDefault="00BF2C8A" w:rsidP="00CE5913">
      <w:pPr>
        <w:spacing w:after="0" w:line="300" w:lineRule="exact"/>
        <w:jc w:val="both"/>
        <w:rPr>
          <w:sz w:val="24"/>
        </w:rPr>
      </w:pPr>
      <w:r w:rsidRPr="00BF2C8A">
        <w:rPr>
          <w:sz w:val="24"/>
        </w:rPr>
        <w:t xml:space="preserve">3.4. Na ocasião do colaborador já possuir em sua carteira pessoal algum ativo vedado por este documento, na data </w:t>
      </w:r>
      <w:r w:rsidR="006146FD">
        <w:rPr>
          <w:sz w:val="24"/>
        </w:rPr>
        <w:t>do ingresso na Sociedade</w:t>
      </w:r>
      <w:r w:rsidRPr="00BF2C8A">
        <w:rPr>
          <w:sz w:val="24"/>
        </w:rPr>
        <w:t xml:space="preserve">, ele está autorizado à sua manutenção, desde que a posição seja informada ao </w:t>
      </w:r>
      <w:proofErr w:type="spellStart"/>
      <w:r w:rsidRPr="00BF2C8A">
        <w:rPr>
          <w:sz w:val="24"/>
        </w:rPr>
        <w:t>Compliance</w:t>
      </w:r>
      <w:proofErr w:type="spellEnd"/>
      <w:r w:rsidRPr="00BF2C8A">
        <w:rPr>
          <w:sz w:val="24"/>
        </w:rPr>
        <w:t xml:space="preserve">. São vedadas novas movimentações de compra e eventuais movimentações de venda devem ser informadas ao </w:t>
      </w:r>
      <w:proofErr w:type="spellStart"/>
      <w:r w:rsidRPr="00BF2C8A">
        <w:rPr>
          <w:sz w:val="24"/>
        </w:rPr>
        <w:t>Compliance</w:t>
      </w:r>
      <w:proofErr w:type="spellEnd"/>
      <w:r w:rsidRPr="00BF2C8A">
        <w:rPr>
          <w:sz w:val="24"/>
        </w:rPr>
        <w:t xml:space="preserve"> a fim de evitar potenciais conflitos de interesses com as carteiras geridas pela Sociedade.</w:t>
      </w:r>
    </w:p>
    <w:p w14:paraId="5A400A66" w14:textId="77777777" w:rsidR="00BF2C8A" w:rsidRDefault="00BF2C8A" w:rsidP="00CE5913">
      <w:pPr>
        <w:spacing w:after="0" w:line="300" w:lineRule="exact"/>
        <w:jc w:val="both"/>
        <w:rPr>
          <w:sz w:val="24"/>
        </w:rPr>
      </w:pPr>
    </w:p>
    <w:p w14:paraId="65DBBE5F" w14:textId="77777777" w:rsidR="00BF2C8A" w:rsidRDefault="00BF2C8A" w:rsidP="00CE5913">
      <w:pPr>
        <w:spacing w:after="0" w:line="300" w:lineRule="exact"/>
        <w:jc w:val="center"/>
        <w:rPr>
          <w:b/>
          <w:sz w:val="24"/>
        </w:rPr>
      </w:pPr>
      <w:r>
        <w:rPr>
          <w:b/>
          <w:sz w:val="24"/>
        </w:rPr>
        <w:t>CAPÍTULO IV</w:t>
      </w:r>
    </w:p>
    <w:p w14:paraId="3A23421E" w14:textId="77777777" w:rsidR="00BF2C8A" w:rsidRDefault="00BF2C8A" w:rsidP="00CE5913">
      <w:pPr>
        <w:spacing w:after="0" w:line="300" w:lineRule="exact"/>
        <w:jc w:val="center"/>
        <w:rPr>
          <w:b/>
          <w:sz w:val="24"/>
        </w:rPr>
      </w:pPr>
      <w:r>
        <w:rPr>
          <w:b/>
          <w:sz w:val="24"/>
        </w:rPr>
        <w:t>METODOLOGIA PARA ALOCAÇÃO</w:t>
      </w:r>
    </w:p>
    <w:p w14:paraId="75AC392F" w14:textId="77777777" w:rsidR="00BF2C8A" w:rsidRDefault="00BF2C8A" w:rsidP="00CE5913">
      <w:pPr>
        <w:spacing w:after="0" w:line="300" w:lineRule="exact"/>
        <w:jc w:val="center"/>
        <w:rPr>
          <w:b/>
          <w:sz w:val="24"/>
        </w:rPr>
      </w:pPr>
      <w:r>
        <w:rPr>
          <w:b/>
          <w:sz w:val="24"/>
        </w:rPr>
        <w:t>DOS RECURSOS EM TESOURARIA</w:t>
      </w:r>
    </w:p>
    <w:p w14:paraId="6B1ABA6E" w14:textId="77777777" w:rsidR="00BF2C8A" w:rsidRDefault="00BF2C8A" w:rsidP="00CE5913">
      <w:pPr>
        <w:spacing w:after="0" w:line="300" w:lineRule="exact"/>
        <w:jc w:val="center"/>
        <w:rPr>
          <w:b/>
          <w:sz w:val="24"/>
        </w:rPr>
      </w:pPr>
    </w:p>
    <w:p w14:paraId="7B6EFFA0" w14:textId="77777777" w:rsidR="00BF2C8A" w:rsidRPr="00BF2C8A" w:rsidRDefault="00BF2C8A" w:rsidP="00CE5913">
      <w:pPr>
        <w:spacing w:after="0" w:line="300" w:lineRule="exact"/>
        <w:jc w:val="both"/>
        <w:rPr>
          <w:sz w:val="24"/>
        </w:rPr>
      </w:pPr>
      <w:r w:rsidRPr="00BF2C8A">
        <w:rPr>
          <w:sz w:val="24"/>
        </w:rPr>
        <w:t xml:space="preserve">4.1. A Sociedade não tem por escopo a gestão ativa dos recursos em tesouraria. Assim, os recursos em caixa serão mantidos apenas para pagamento de despesas ordinárias e o eventualmente excedente será mantido em moeda corrente, poupança, CDBs, </w:t>
      </w:r>
      <w:proofErr w:type="spellStart"/>
      <w:r w:rsidRPr="00BF2C8A">
        <w:rPr>
          <w:sz w:val="24"/>
        </w:rPr>
        <w:t>LTFs</w:t>
      </w:r>
      <w:proofErr w:type="spellEnd"/>
      <w:r w:rsidRPr="00BF2C8A">
        <w:rPr>
          <w:sz w:val="24"/>
        </w:rPr>
        <w:t>, operações compromissadas ou fundos de investimento.</w:t>
      </w:r>
    </w:p>
    <w:p w14:paraId="6C518C17" w14:textId="77777777" w:rsidR="00BF2C8A" w:rsidRPr="00BF2C8A" w:rsidRDefault="00BF2C8A" w:rsidP="00CE5913">
      <w:pPr>
        <w:spacing w:after="0" w:line="300" w:lineRule="exact"/>
        <w:jc w:val="both"/>
        <w:rPr>
          <w:sz w:val="24"/>
        </w:rPr>
      </w:pPr>
    </w:p>
    <w:p w14:paraId="0F784F03" w14:textId="77777777" w:rsidR="00BF2C8A" w:rsidRDefault="00BF2C8A" w:rsidP="00CE5913">
      <w:pPr>
        <w:spacing w:after="0" w:line="300" w:lineRule="exact"/>
        <w:jc w:val="both"/>
        <w:rPr>
          <w:sz w:val="24"/>
        </w:rPr>
      </w:pPr>
      <w:r w:rsidRPr="00BF2C8A">
        <w:rPr>
          <w:sz w:val="24"/>
        </w:rPr>
        <w:t>4.2. Qualquer outra operação pela Sociedade para a sua carteira proprietária não permitida expressamente pelo item 4.1. acima é vedada.</w:t>
      </w:r>
    </w:p>
    <w:p w14:paraId="157BD4EC" w14:textId="77777777" w:rsidR="00BF2C8A" w:rsidRDefault="00BF2C8A" w:rsidP="00CE5913">
      <w:pPr>
        <w:spacing w:after="0" w:line="300" w:lineRule="exact"/>
        <w:jc w:val="both"/>
        <w:rPr>
          <w:sz w:val="24"/>
        </w:rPr>
      </w:pPr>
    </w:p>
    <w:p w14:paraId="4AA4295E" w14:textId="77777777" w:rsidR="00BF2C8A" w:rsidRDefault="00BF2C8A" w:rsidP="00CE5913">
      <w:pPr>
        <w:spacing w:after="0" w:line="300" w:lineRule="exact"/>
        <w:jc w:val="center"/>
        <w:rPr>
          <w:b/>
          <w:sz w:val="24"/>
        </w:rPr>
      </w:pPr>
      <w:r>
        <w:rPr>
          <w:b/>
          <w:sz w:val="24"/>
        </w:rPr>
        <w:t>CAPÍTULO V</w:t>
      </w:r>
    </w:p>
    <w:p w14:paraId="16D3C781" w14:textId="77777777" w:rsidR="00BF2C8A" w:rsidRDefault="00BF2C8A" w:rsidP="00CE5913">
      <w:pPr>
        <w:spacing w:after="0" w:line="300" w:lineRule="exact"/>
        <w:jc w:val="center"/>
        <w:rPr>
          <w:b/>
          <w:sz w:val="24"/>
        </w:rPr>
      </w:pPr>
      <w:r>
        <w:rPr>
          <w:b/>
          <w:sz w:val="24"/>
        </w:rPr>
        <w:t>MONITORAMENTO</w:t>
      </w:r>
    </w:p>
    <w:p w14:paraId="559956DC" w14:textId="77777777" w:rsidR="00BF2C8A" w:rsidRDefault="00BF2C8A" w:rsidP="00CE5913">
      <w:pPr>
        <w:spacing w:after="0" w:line="300" w:lineRule="exact"/>
        <w:jc w:val="center"/>
        <w:rPr>
          <w:b/>
          <w:sz w:val="24"/>
        </w:rPr>
      </w:pPr>
    </w:p>
    <w:p w14:paraId="76A61C32" w14:textId="77777777" w:rsidR="00BF2C8A" w:rsidRPr="00BF2C8A" w:rsidRDefault="00BF2C8A" w:rsidP="00CE5913">
      <w:pPr>
        <w:spacing w:after="0" w:line="300" w:lineRule="exact"/>
        <w:jc w:val="both"/>
        <w:rPr>
          <w:sz w:val="24"/>
        </w:rPr>
      </w:pPr>
      <w:r w:rsidRPr="00BF2C8A">
        <w:rPr>
          <w:sz w:val="24"/>
        </w:rPr>
        <w:t xml:space="preserve">5.1. O departamento de </w:t>
      </w:r>
      <w:proofErr w:type="spellStart"/>
      <w:r w:rsidRPr="00BF2C8A">
        <w:rPr>
          <w:sz w:val="24"/>
        </w:rPr>
        <w:t>Compliance</w:t>
      </w:r>
      <w:proofErr w:type="spellEnd"/>
      <w:r w:rsidRPr="00BF2C8A">
        <w:rPr>
          <w:sz w:val="24"/>
        </w:rPr>
        <w:t xml:space="preserve"> coletará anualmente declaração dos colaboradores na qual atestem a conformidade com a presente Política, nos termos da Declaração de Conformidade constante do Anexo I à presente Política.</w:t>
      </w:r>
    </w:p>
    <w:p w14:paraId="5D94A80B" w14:textId="77777777" w:rsidR="00BF2C8A" w:rsidRPr="00BF2C8A" w:rsidRDefault="00BF2C8A" w:rsidP="00CE5913">
      <w:pPr>
        <w:spacing w:after="0" w:line="300" w:lineRule="exact"/>
        <w:jc w:val="both"/>
        <w:rPr>
          <w:sz w:val="24"/>
        </w:rPr>
      </w:pPr>
    </w:p>
    <w:p w14:paraId="2AFF8DD5" w14:textId="77777777" w:rsidR="00BF2C8A" w:rsidRDefault="00BF2C8A" w:rsidP="00CE5913">
      <w:pPr>
        <w:spacing w:after="0" w:line="300" w:lineRule="exact"/>
        <w:jc w:val="both"/>
        <w:rPr>
          <w:sz w:val="24"/>
        </w:rPr>
      </w:pPr>
      <w:r w:rsidRPr="00BF2C8A">
        <w:rPr>
          <w:sz w:val="24"/>
        </w:rPr>
        <w:t xml:space="preserve">5.2. Caso entenda necessário, o departamento de </w:t>
      </w:r>
      <w:proofErr w:type="spellStart"/>
      <w:r w:rsidRPr="00BF2C8A">
        <w:rPr>
          <w:sz w:val="24"/>
        </w:rPr>
        <w:t>Compliance</w:t>
      </w:r>
      <w:proofErr w:type="spellEnd"/>
      <w:r w:rsidRPr="00BF2C8A">
        <w:rPr>
          <w:sz w:val="24"/>
        </w:rPr>
        <w:t xml:space="preserve"> terá autonomia para solicitar, a qualquer momento, o extrato da posição consolidada dos investimentos pessoais dos colaboradores, a fim de verificar a aderência com a presente Política.</w:t>
      </w:r>
    </w:p>
    <w:p w14:paraId="28F0E412" w14:textId="77777777" w:rsidR="00BF2C8A" w:rsidRDefault="00BF2C8A" w:rsidP="00CE5913">
      <w:pPr>
        <w:spacing w:after="0" w:line="300" w:lineRule="exact"/>
        <w:jc w:val="both"/>
        <w:rPr>
          <w:sz w:val="24"/>
        </w:rPr>
      </w:pPr>
    </w:p>
    <w:p w14:paraId="403AE33A" w14:textId="77777777" w:rsidR="006146FD" w:rsidRDefault="006146FD" w:rsidP="00CE5913">
      <w:pPr>
        <w:spacing w:after="0" w:line="300" w:lineRule="exact"/>
        <w:jc w:val="center"/>
        <w:rPr>
          <w:b/>
          <w:sz w:val="24"/>
        </w:rPr>
      </w:pPr>
    </w:p>
    <w:p w14:paraId="3C6A4927" w14:textId="6E2944A2" w:rsidR="00BF2C8A" w:rsidRDefault="00BF2C8A" w:rsidP="00CE5913">
      <w:pPr>
        <w:spacing w:after="0" w:line="300" w:lineRule="exact"/>
        <w:jc w:val="center"/>
        <w:rPr>
          <w:b/>
          <w:sz w:val="24"/>
        </w:rPr>
      </w:pPr>
      <w:r>
        <w:rPr>
          <w:b/>
          <w:sz w:val="24"/>
        </w:rPr>
        <w:t>CAPÍTULO VI</w:t>
      </w:r>
    </w:p>
    <w:p w14:paraId="54852300" w14:textId="77777777" w:rsidR="00BF2C8A" w:rsidRDefault="00BF2C8A" w:rsidP="00CE5913">
      <w:pPr>
        <w:spacing w:after="0" w:line="300" w:lineRule="exact"/>
        <w:jc w:val="center"/>
        <w:rPr>
          <w:b/>
          <w:sz w:val="24"/>
        </w:rPr>
      </w:pPr>
      <w:r>
        <w:rPr>
          <w:b/>
          <w:sz w:val="24"/>
        </w:rPr>
        <w:t>MANUTENÇÃO DE ARQUIVOS</w:t>
      </w:r>
    </w:p>
    <w:p w14:paraId="129C9BEE" w14:textId="77777777" w:rsidR="00BF2C8A" w:rsidRDefault="00BF2C8A" w:rsidP="00CE5913">
      <w:pPr>
        <w:spacing w:after="0" w:line="300" w:lineRule="exact"/>
        <w:jc w:val="center"/>
        <w:rPr>
          <w:b/>
          <w:sz w:val="24"/>
        </w:rPr>
      </w:pPr>
    </w:p>
    <w:p w14:paraId="1D16C6A4" w14:textId="77777777" w:rsidR="003C3AC4" w:rsidRPr="003C3AC4" w:rsidRDefault="003C3AC4" w:rsidP="00CE5913">
      <w:pPr>
        <w:spacing w:after="0" w:line="300" w:lineRule="exact"/>
        <w:jc w:val="both"/>
        <w:rPr>
          <w:sz w:val="24"/>
        </w:rPr>
      </w:pPr>
      <w:r w:rsidRPr="003C3AC4">
        <w:rPr>
          <w:sz w:val="24"/>
        </w:rPr>
        <w:t xml:space="preserve">6.1. O departamento de </w:t>
      </w:r>
      <w:proofErr w:type="spellStart"/>
      <w:r w:rsidRPr="003C3AC4">
        <w:rPr>
          <w:sz w:val="24"/>
        </w:rPr>
        <w:t>Compliance</w:t>
      </w:r>
      <w:proofErr w:type="spellEnd"/>
      <w:r w:rsidRPr="003C3AC4">
        <w:rPr>
          <w:sz w:val="24"/>
        </w:rPr>
        <w:t xml:space="preserve"> deverá manter arquivado os fundamentos que levaram a autorização de investimentos pessoais em regime de exceção à regra geral estabelecida nesta Política, bem como cópia da Declaração de Conformidade, pelo prazo mínimo de 5 (cinco) anos. Os documentos poderão ser arquivados em meio físico ou eletrônico, sendo admitida a substituição da via física original dos documentos pela cópia digitalizada.</w:t>
      </w:r>
    </w:p>
    <w:p w14:paraId="0DCF3881" w14:textId="77777777" w:rsidR="003C3AC4" w:rsidRPr="003C3AC4" w:rsidRDefault="003C3AC4" w:rsidP="00CE5913">
      <w:pPr>
        <w:spacing w:after="0" w:line="300" w:lineRule="exact"/>
        <w:jc w:val="both"/>
        <w:rPr>
          <w:sz w:val="24"/>
        </w:rPr>
      </w:pPr>
    </w:p>
    <w:p w14:paraId="61B765CF" w14:textId="77777777" w:rsidR="003C3AC4" w:rsidRDefault="003C3AC4" w:rsidP="00CE5913">
      <w:pPr>
        <w:spacing w:after="0" w:line="300" w:lineRule="exact"/>
        <w:jc w:val="both"/>
        <w:rPr>
          <w:sz w:val="24"/>
        </w:rPr>
      </w:pPr>
      <w:r w:rsidRPr="003C3AC4">
        <w:rPr>
          <w:sz w:val="24"/>
        </w:rPr>
        <w:t xml:space="preserve">6.2. A título de </w:t>
      </w:r>
      <w:proofErr w:type="spellStart"/>
      <w:r w:rsidRPr="003C3AC4">
        <w:rPr>
          <w:i/>
          <w:sz w:val="24"/>
        </w:rPr>
        <w:t>enforcement</w:t>
      </w:r>
      <w:proofErr w:type="spellEnd"/>
      <w:r w:rsidRPr="003C3AC4">
        <w:rPr>
          <w:sz w:val="24"/>
        </w:rPr>
        <w:t>, vale notar que a não observância dos dispositivos da presente Política resultará em advertência, suspensão, demissão ou exclusão por justa causa, conforme a gravidade e a reincidência na violação, sem prejuízo das penalidades civis e criminais.</w:t>
      </w:r>
    </w:p>
    <w:p w14:paraId="53C991D6" w14:textId="77777777" w:rsidR="003C3AC4" w:rsidRPr="003C3AC4" w:rsidRDefault="003C3AC4" w:rsidP="00CE5913">
      <w:pPr>
        <w:spacing w:after="0" w:line="300" w:lineRule="exact"/>
        <w:jc w:val="both"/>
        <w:rPr>
          <w:sz w:val="24"/>
        </w:rPr>
      </w:pPr>
    </w:p>
    <w:p w14:paraId="76EC9E33" w14:textId="77777777" w:rsidR="00BF2C8A" w:rsidRDefault="003C3AC4" w:rsidP="00CE5913">
      <w:pPr>
        <w:spacing w:after="0" w:line="300" w:lineRule="exact"/>
        <w:jc w:val="both"/>
        <w:rPr>
          <w:sz w:val="24"/>
        </w:rPr>
      </w:pPr>
      <w:r w:rsidRPr="003C3AC4">
        <w:rPr>
          <w:sz w:val="24"/>
        </w:rPr>
        <w:t xml:space="preserve">6.3. Situações que não se encaixem ou estejam em desacordo de qualquer maneira com esta Política deverão ser submetidas à análise da área de </w:t>
      </w:r>
      <w:proofErr w:type="spellStart"/>
      <w:r w:rsidRPr="003C3AC4">
        <w:rPr>
          <w:sz w:val="24"/>
        </w:rPr>
        <w:t>Compliance</w:t>
      </w:r>
      <w:proofErr w:type="spellEnd"/>
      <w:r w:rsidRPr="003C3AC4">
        <w:rPr>
          <w:sz w:val="24"/>
        </w:rPr>
        <w:t>, que avaliará as suas circunstâncias e fundamentos e, em seguida, deliberará pela aprovação ou não para tal exceção.</w:t>
      </w:r>
    </w:p>
    <w:p w14:paraId="6E7DF419" w14:textId="77777777" w:rsidR="003C3AC4" w:rsidRDefault="003C3AC4" w:rsidP="00CE5913">
      <w:pPr>
        <w:spacing w:after="0" w:line="300" w:lineRule="exact"/>
        <w:jc w:val="both"/>
        <w:rPr>
          <w:sz w:val="24"/>
        </w:rPr>
      </w:pPr>
    </w:p>
    <w:p w14:paraId="710A60BC" w14:textId="77777777" w:rsidR="003C3AC4" w:rsidRDefault="003C3AC4" w:rsidP="00CE5913">
      <w:pPr>
        <w:spacing w:after="0" w:line="300" w:lineRule="exact"/>
        <w:jc w:val="both"/>
        <w:rPr>
          <w:sz w:val="24"/>
        </w:rPr>
      </w:pPr>
    </w:p>
    <w:p w14:paraId="362DFDAA" w14:textId="77777777" w:rsidR="003C3AC4" w:rsidRDefault="003C3AC4" w:rsidP="00CE5913">
      <w:pPr>
        <w:spacing w:after="0" w:line="300" w:lineRule="exact"/>
        <w:jc w:val="both"/>
        <w:rPr>
          <w:sz w:val="24"/>
        </w:rPr>
      </w:pPr>
    </w:p>
    <w:p w14:paraId="1D6935DB" w14:textId="77777777" w:rsidR="003C3AC4" w:rsidRDefault="003C3AC4" w:rsidP="00CE5913">
      <w:pPr>
        <w:spacing w:after="0" w:line="300" w:lineRule="exact"/>
        <w:jc w:val="both"/>
        <w:rPr>
          <w:sz w:val="24"/>
        </w:rPr>
      </w:pPr>
    </w:p>
    <w:p w14:paraId="6843D6E4" w14:textId="77777777" w:rsidR="003C3AC4" w:rsidRDefault="003C3AC4" w:rsidP="00CE5913">
      <w:pPr>
        <w:spacing w:after="0" w:line="300" w:lineRule="exact"/>
        <w:jc w:val="both"/>
        <w:rPr>
          <w:sz w:val="24"/>
        </w:rPr>
      </w:pPr>
    </w:p>
    <w:p w14:paraId="0D97DBD9" w14:textId="77777777" w:rsidR="003C3AC4" w:rsidRDefault="003C3AC4" w:rsidP="00CE5913">
      <w:pPr>
        <w:spacing w:after="0" w:line="300" w:lineRule="exact"/>
        <w:jc w:val="both"/>
        <w:rPr>
          <w:sz w:val="24"/>
        </w:rPr>
      </w:pPr>
    </w:p>
    <w:p w14:paraId="15D9C058" w14:textId="77777777" w:rsidR="003C3AC4" w:rsidRDefault="003C3AC4" w:rsidP="00CE5913">
      <w:pPr>
        <w:spacing w:after="0" w:line="300" w:lineRule="exact"/>
        <w:jc w:val="both"/>
        <w:rPr>
          <w:sz w:val="24"/>
        </w:rPr>
      </w:pPr>
    </w:p>
    <w:p w14:paraId="5DB49F66" w14:textId="77777777" w:rsidR="003C3AC4" w:rsidRDefault="003C3AC4" w:rsidP="00CE5913">
      <w:pPr>
        <w:spacing w:after="0" w:line="300" w:lineRule="exact"/>
        <w:jc w:val="both"/>
        <w:rPr>
          <w:sz w:val="24"/>
        </w:rPr>
      </w:pPr>
    </w:p>
    <w:p w14:paraId="7553E511" w14:textId="77777777" w:rsidR="003C3AC4" w:rsidRDefault="003C3AC4" w:rsidP="00CE5913">
      <w:pPr>
        <w:spacing w:after="0" w:line="300" w:lineRule="exact"/>
        <w:jc w:val="both"/>
        <w:rPr>
          <w:sz w:val="24"/>
        </w:rPr>
      </w:pPr>
    </w:p>
    <w:p w14:paraId="2E87B54A" w14:textId="77777777" w:rsidR="003C3AC4" w:rsidRDefault="003C3AC4" w:rsidP="00CE5913">
      <w:pPr>
        <w:spacing w:after="0" w:line="300" w:lineRule="exact"/>
        <w:jc w:val="both"/>
        <w:rPr>
          <w:sz w:val="24"/>
        </w:rPr>
      </w:pPr>
    </w:p>
    <w:p w14:paraId="274291F4" w14:textId="77777777" w:rsidR="003C3AC4" w:rsidRDefault="003C3AC4" w:rsidP="00CE5913">
      <w:pPr>
        <w:spacing w:after="0" w:line="300" w:lineRule="exact"/>
        <w:jc w:val="both"/>
        <w:rPr>
          <w:sz w:val="24"/>
        </w:rPr>
      </w:pPr>
    </w:p>
    <w:p w14:paraId="3FE60EB7" w14:textId="77777777" w:rsidR="003C3AC4" w:rsidRDefault="003C3AC4" w:rsidP="00CE5913">
      <w:pPr>
        <w:spacing w:after="0" w:line="300" w:lineRule="exact"/>
        <w:jc w:val="both"/>
        <w:rPr>
          <w:sz w:val="24"/>
        </w:rPr>
      </w:pPr>
    </w:p>
    <w:p w14:paraId="77CF4A7C" w14:textId="77777777" w:rsidR="003C3AC4" w:rsidRDefault="003C3AC4" w:rsidP="00CE5913">
      <w:pPr>
        <w:spacing w:after="0" w:line="300" w:lineRule="exact"/>
        <w:jc w:val="both"/>
        <w:rPr>
          <w:sz w:val="24"/>
        </w:rPr>
      </w:pPr>
    </w:p>
    <w:p w14:paraId="6669663D" w14:textId="77777777" w:rsidR="003C3AC4" w:rsidRDefault="003C3AC4" w:rsidP="00CE5913">
      <w:pPr>
        <w:spacing w:after="0" w:line="300" w:lineRule="exact"/>
        <w:jc w:val="both"/>
        <w:rPr>
          <w:sz w:val="24"/>
        </w:rPr>
      </w:pPr>
    </w:p>
    <w:p w14:paraId="74842147" w14:textId="77777777" w:rsidR="003C3AC4" w:rsidRDefault="003C3AC4" w:rsidP="00CE5913">
      <w:pPr>
        <w:spacing w:after="0" w:line="300" w:lineRule="exact"/>
        <w:jc w:val="both"/>
        <w:rPr>
          <w:sz w:val="24"/>
        </w:rPr>
      </w:pPr>
    </w:p>
    <w:p w14:paraId="0BFD88F2" w14:textId="77777777" w:rsidR="003C3AC4" w:rsidRDefault="003C3AC4" w:rsidP="00CE5913">
      <w:pPr>
        <w:spacing w:after="0" w:line="300" w:lineRule="exact"/>
        <w:jc w:val="both"/>
        <w:rPr>
          <w:sz w:val="24"/>
        </w:rPr>
      </w:pPr>
    </w:p>
    <w:p w14:paraId="187B71FA" w14:textId="77777777" w:rsidR="003C3AC4" w:rsidRDefault="003C3AC4" w:rsidP="00CE5913">
      <w:pPr>
        <w:spacing w:after="0" w:line="300" w:lineRule="exact"/>
        <w:jc w:val="both"/>
        <w:rPr>
          <w:sz w:val="24"/>
        </w:rPr>
      </w:pPr>
    </w:p>
    <w:p w14:paraId="52D030ED" w14:textId="77777777" w:rsidR="003C3AC4" w:rsidRDefault="003C3AC4" w:rsidP="00CE5913">
      <w:pPr>
        <w:spacing w:after="0" w:line="300" w:lineRule="exact"/>
        <w:jc w:val="both"/>
        <w:rPr>
          <w:sz w:val="24"/>
        </w:rPr>
      </w:pPr>
    </w:p>
    <w:p w14:paraId="17F1DB47" w14:textId="77777777" w:rsidR="003C3AC4" w:rsidRDefault="003C3AC4" w:rsidP="00CE5913">
      <w:pPr>
        <w:spacing w:after="0" w:line="300" w:lineRule="exact"/>
        <w:jc w:val="both"/>
        <w:rPr>
          <w:sz w:val="24"/>
        </w:rPr>
      </w:pPr>
    </w:p>
    <w:p w14:paraId="3475EAD7" w14:textId="77777777" w:rsidR="003C3AC4" w:rsidRDefault="003C3AC4" w:rsidP="00CE5913">
      <w:pPr>
        <w:spacing w:after="0" w:line="300" w:lineRule="exact"/>
        <w:jc w:val="both"/>
        <w:rPr>
          <w:sz w:val="24"/>
        </w:rPr>
      </w:pPr>
    </w:p>
    <w:p w14:paraId="2ABF0EDA" w14:textId="77777777" w:rsidR="003C3AC4" w:rsidRDefault="003C3AC4" w:rsidP="00CE5913">
      <w:pPr>
        <w:spacing w:after="0" w:line="300" w:lineRule="exact"/>
        <w:jc w:val="both"/>
        <w:rPr>
          <w:sz w:val="24"/>
        </w:rPr>
      </w:pPr>
    </w:p>
    <w:p w14:paraId="7EA98560" w14:textId="77777777" w:rsidR="003C3AC4" w:rsidRDefault="003C3AC4" w:rsidP="00CE5913">
      <w:pPr>
        <w:spacing w:after="0" w:line="300" w:lineRule="exact"/>
        <w:jc w:val="both"/>
        <w:rPr>
          <w:sz w:val="24"/>
        </w:rPr>
      </w:pPr>
    </w:p>
    <w:p w14:paraId="486EBF51" w14:textId="77777777" w:rsidR="003C3AC4" w:rsidRDefault="003C3AC4" w:rsidP="00CE5913">
      <w:pPr>
        <w:spacing w:after="0" w:line="300" w:lineRule="exact"/>
        <w:jc w:val="both"/>
        <w:rPr>
          <w:sz w:val="24"/>
        </w:rPr>
      </w:pPr>
    </w:p>
    <w:p w14:paraId="5BAE619D" w14:textId="77777777" w:rsidR="003C3AC4" w:rsidRDefault="003C3AC4" w:rsidP="00CE5913">
      <w:pPr>
        <w:spacing w:after="0" w:line="300" w:lineRule="exact"/>
        <w:jc w:val="both"/>
        <w:rPr>
          <w:sz w:val="24"/>
        </w:rPr>
      </w:pPr>
    </w:p>
    <w:p w14:paraId="4BE3A00C" w14:textId="77777777" w:rsidR="003C3AC4" w:rsidRDefault="003C3AC4" w:rsidP="00CE5913">
      <w:pPr>
        <w:spacing w:after="0" w:line="300" w:lineRule="exact"/>
        <w:jc w:val="both"/>
        <w:rPr>
          <w:sz w:val="24"/>
        </w:rPr>
      </w:pPr>
    </w:p>
    <w:p w14:paraId="697A5781" w14:textId="77777777" w:rsidR="006146FD" w:rsidRDefault="006146FD">
      <w:pPr>
        <w:rPr>
          <w:b/>
          <w:sz w:val="24"/>
        </w:rPr>
      </w:pPr>
      <w:r>
        <w:rPr>
          <w:b/>
          <w:sz w:val="24"/>
        </w:rPr>
        <w:br w:type="page"/>
      </w:r>
    </w:p>
    <w:p w14:paraId="767FC84B" w14:textId="2E2C02F6" w:rsidR="003C3AC4" w:rsidRDefault="003C3AC4" w:rsidP="00CE5913">
      <w:pPr>
        <w:spacing w:after="0" w:line="300" w:lineRule="exact"/>
        <w:jc w:val="center"/>
        <w:rPr>
          <w:b/>
          <w:sz w:val="24"/>
        </w:rPr>
      </w:pPr>
      <w:r>
        <w:rPr>
          <w:b/>
          <w:sz w:val="24"/>
        </w:rPr>
        <w:lastRenderedPageBreak/>
        <w:t>ANEXO I</w:t>
      </w:r>
      <w:r>
        <w:rPr>
          <w:b/>
          <w:sz w:val="24"/>
        </w:rPr>
        <w:br/>
        <w:t>DECLARAÇÃO DE CONFORMIDADE</w:t>
      </w:r>
    </w:p>
    <w:p w14:paraId="1F33E095" w14:textId="77777777" w:rsidR="003C3AC4" w:rsidRDefault="003C3AC4" w:rsidP="00CE5913">
      <w:pPr>
        <w:spacing w:after="0" w:line="300" w:lineRule="exact"/>
        <w:jc w:val="center"/>
        <w:rPr>
          <w:b/>
          <w:sz w:val="24"/>
        </w:rPr>
      </w:pPr>
    </w:p>
    <w:p w14:paraId="243B6702" w14:textId="5B563DA7" w:rsidR="003C3AC4" w:rsidRPr="0019065B" w:rsidRDefault="003C3AC4" w:rsidP="0019065B">
      <w:pPr>
        <w:spacing w:after="0" w:line="300" w:lineRule="exact"/>
        <w:jc w:val="both"/>
        <w:rPr>
          <w:b/>
          <w:sz w:val="24"/>
        </w:rPr>
      </w:pPr>
      <w:r w:rsidRPr="003C3AC4">
        <w:rPr>
          <w:sz w:val="24"/>
        </w:rPr>
        <w:t xml:space="preserve">[Nome Completo], [nacionalidade], [estado civil], [profissão], portador da carteira de identidade nº [definir], expedida pelo [órgão expedidor], inscrito no CPF sob o nº [definir], na qualidade de colaborador da </w:t>
      </w:r>
      <w:r w:rsidR="00E140B6">
        <w:rPr>
          <w:rFonts w:cstheme="minorHAnsi"/>
          <w:b/>
          <w:sz w:val="24"/>
          <w:szCs w:val="24"/>
          <w:lang w:val="en-GB"/>
        </w:rPr>
        <w:t>SOW CAPITAL GESTÃO DE INVESTIMENTOS LTDA.</w:t>
      </w:r>
      <w:r w:rsidR="003B7CA8" w:rsidRPr="003C3AC4">
        <w:rPr>
          <w:sz w:val="24"/>
        </w:rPr>
        <w:t xml:space="preserve"> </w:t>
      </w:r>
      <w:r w:rsidRPr="003C3AC4">
        <w:rPr>
          <w:sz w:val="24"/>
        </w:rPr>
        <w:t>(“Sociedade”), declaro que os meus investimentos pessoais realizados no período de [dia] de [mês] de [ano] a [dia] de [mês] de [ano], encontram-se em conformidade com a Política de Investimentos P</w:t>
      </w:r>
      <w:r w:rsidR="00080DF6">
        <w:rPr>
          <w:sz w:val="24"/>
        </w:rPr>
        <w:t>róprios</w:t>
      </w:r>
      <w:r w:rsidRPr="003C3AC4">
        <w:rPr>
          <w:sz w:val="24"/>
        </w:rPr>
        <w:t xml:space="preserve"> da Sociedade (versão: [mês]/[ano]).</w:t>
      </w:r>
    </w:p>
    <w:p w14:paraId="15EB7805" w14:textId="77777777" w:rsidR="003C3AC4" w:rsidRDefault="003C3AC4" w:rsidP="00CE5913">
      <w:pPr>
        <w:spacing w:after="0" w:line="300" w:lineRule="exact"/>
        <w:jc w:val="both"/>
        <w:rPr>
          <w:sz w:val="24"/>
        </w:rPr>
      </w:pPr>
    </w:p>
    <w:p w14:paraId="05680574" w14:textId="315FCE4F" w:rsidR="003C3AC4" w:rsidRDefault="00E140B6" w:rsidP="00CE5913">
      <w:pPr>
        <w:spacing w:after="0" w:line="300" w:lineRule="exact"/>
        <w:jc w:val="center"/>
        <w:rPr>
          <w:sz w:val="24"/>
        </w:rPr>
      </w:pPr>
      <w:r>
        <w:rPr>
          <w:sz w:val="24"/>
        </w:rPr>
        <w:t>Rio de Janeiro</w:t>
      </w:r>
      <w:r w:rsidR="003C3AC4">
        <w:rPr>
          <w:sz w:val="24"/>
        </w:rPr>
        <w:t>, [dia] de [mês] de [ano]</w:t>
      </w:r>
    </w:p>
    <w:p w14:paraId="02A5D802" w14:textId="77777777" w:rsidR="003C3AC4" w:rsidRDefault="003C3AC4" w:rsidP="00CE5913">
      <w:pPr>
        <w:spacing w:after="0" w:line="300" w:lineRule="exact"/>
        <w:jc w:val="center"/>
        <w:rPr>
          <w:sz w:val="24"/>
        </w:rPr>
      </w:pPr>
    </w:p>
    <w:p w14:paraId="2F5C864A" w14:textId="77777777" w:rsidR="003C3AC4" w:rsidRDefault="003C3AC4" w:rsidP="00CE5913">
      <w:pPr>
        <w:spacing w:after="0" w:line="300" w:lineRule="exact"/>
        <w:jc w:val="center"/>
        <w:rPr>
          <w:sz w:val="24"/>
        </w:rPr>
      </w:pPr>
    </w:p>
    <w:p w14:paraId="0B989C41" w14:textId="77777777" w:rsidR="003C3AC4" w:rsidRDefault="003C3AC4" w:rsidP="00CE5913">
      <w:pPr>
        <w:spacing w:after="0" w:line="300" w:lineRule="exact"/>
        <w:jc w:val="center"/>
        <w:rPr>
          <w:sz w:val="24"/>
        </w:rPr>
      </w:pPr>
    </w:p>
    <w:p w14:paraId="78AF2C25" w14:textId="77777777" w:rsidR="003C3AC4" w:rsidRDefault="003C3AC4" w:rsidP="00CE5913">
      <w:pPr>
        <w:spacing w:after="0" w:line="300" w:lineRule="exact"/>
        <w:jc w:val="center"/>
        <w:rPr>
          <w:sz w:val="24"/>
        </w:rPr>
      </w:pPr>
      <w:r>
        <w:rPr>
          <w:sz w:val="24"/>
        </w:rPr>
        <w:t>__________________________________</w:t>
      </w:r>
    </w:p>
    <w:p w14:paraId="733D9308" w14:textId="77777777" w:rsidR="003C3AC4" w:rsidRPr="003C3AC4" w:rsidRDefault="003C3AC4" w:rsidP="00CE5913">
      <w:pPr>
        <w:spacing w:after="0" w:line="300" w:lineRule="exact"/>
        <w:jc w:val="center"/>
        <w:rPr>
          <w:sz w:val="24"/>
        </w:rPr>
      </w:pPr>
      <w:r>
        <w:rPr>
          <w:sz w:val="24"/>
        </w:rPr>
        <w:t>[ASSINATURA]</w:t>
      </w:r>
    </w:p>
    <w:sectPr w:rsidR="003C3AC4" w:rsidRPr="003C3AC4" w:rsidSect="00CE5913">
      <w:pgSz w:w="11906" w:h="16838"/>
      <w:pgMar w:top="851" w:right="707"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D7"/>
    <w:rsid w:val="00080DF6"/>
    <w:rsid w:val="001337D4"/>
    <w:rsid w:val="001412E8"/>
    <w:rsid w:val="0019065B"/>
    <w:rsid w:val="001D05B2"/>
    <w:rsid w:val="003A5BE1"/>
    <w:rsid w:val="003B7CA8"/>
    <w:rsid w:val="003C3AC4"/>
    <w:rsid w:val="004A7608"/>
    <w:rsid w:val="006146FD"/>
    <w:rsid w:val="006677D7"/>
    <w:rsid w:val="008418A4"/>
    <w:rsid w:val="00A1757F"/>
    <w:rsid w:val="00A65721"/>
    <w:rsid w:val="00AD3232"/>
    <w:rsid w:val="00B50E5D"/>
    <w:rsid w:val="00BF2C8A"/>
    <w:rsid w:val="00CE5913"/>
    <w:rsid w:val="00D33375"/>
    <w:rsid w:val="00DA757C"/>
    <w:rsid w:val="00E140B6"/>
    <w:rsid w:val="00E21357"/>
    <w:rsid w:val="00E74602"/>
    <w:rsid w:val="00F37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9DC1"/>
  <w15:chartTrackingRefBased/>
  <w15:docId w15:val="{48DB4FB3-3C3B-40D3-937F-719B8605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DA757C"/>
    <w:rPr>
      <w:sz w:val="16"/>
      <w:szCs w:val="16"/>
    </w:rPr>
  </w:style>
  <w:style w:type="paragraph" w:styleId="Textodecomentrio">
    <w:name w:val="annotation text"/>
    <w:basedOn w:val="Normal"/>
    <w:link w:val="TextodecomentrioChar"/>
    <w:uiPriority w:val="99"/>
    <w:semiHidden/>
    <w:unhideWhenUsed/>
    <w:rsid w:val="00DA75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757C"/>
    <w:rPr>
      <w:sz w:val="20"/>
      <w:szCs w:val="20"/>
    </w:rPr>
  </w:style>
  <w:style w:type="paragraph" w:styleId="Assuntodocomentrio">
    <w:name w:val="annotation subject"/>
    <w:basedOn w:val="Textodecomentrio"/>
    <w:next w:val="Textodecomentrio"/>
    <w:link w:val="AssuntodocomentrioChar"/>
    <w:uiPriority w:val="99"/>
    <w:semiHidden/>
    <w:unhideWhenUsed/>
    <w:rsid w:val="00DA757C"/>
    <w:rPr>
      <w:b/>
      <w:bCs/>
    </w:rPr>
  </w:style>
  <w:style w:type="character" w:customStyle="1" w:styleId="AssuntodocomentrioChar">
    <w:name w:val="Assunto do comentário Char"/>
    <w:basedOn w:val="TextodecomentrioChar"/>
    <w:link w:val="Assuntodocomentrio"/>
    <w:uiPriority w:val="99"/>
    <w:semiHidden/>
    <w:rsid w:val="00DA757C"/>
    <w:rPr>
      <w:b/>
      <w:bCs/>
      <w:sz w:val="20"/>
      <w:szCs w:val="20"/>
    </w:rPr>
  </w:style>
  <w:style w:type="paragraph" w:styleId="Reviso">
    <w:name w:val="Revision"/>
    <w:hidden/>
    <w:uiPriority w:val="99"/>
    <w:semiHidden/>
    <w:rsid w:val="003A5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25994DA7C94C549976FE03096BA402A" ma:contentTypeVersion="10" ma:contentTypeDescription="Crie um novo documento." ma:contentTypeScope="" ma:versionID="4446f95e6b81a418b98b8f37e94097a2">
  <xsd:schema xmlns:xsd="http://www.w3.org/2001/XMLSchema" xmlns:xs="http://www.w3.org/2001/XMLSchema" xmlns:p="http://schemas.microsoft.com/office/2006/metadata/properties" xmlns:ns2="ee04ce53-6517-4346-83a0-5640ece72106" xmlns:ns3="a3b7908a-b7ea-4c4b-a170-df6ce542d004" targetNamespace="http://schemas.microsoft.com/office/2006/metadata/properties" ma:root="true" ma:fieldsID="82f36c9b803bb174cc930bc0b45db3ef" ns2:_="" ns3:_="">
    <xsd:import namespace="ee04ce53-6517-4346-83a0-5640ece72106"/>
    <xsd:import namespace="a3b7908a-b7ea-4c4b-a170-df6ce542d0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ce53-6517-4346-83a0-5640ece7210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b7908a-b7ea-4c4b-a170-df6ce542d0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e04ce53-6517-4346-83a0-5640ece72106">TTRWAPTVDHCH-230250761-101337</_dlc_DocId>
    <_dlc_DocIdUrl xmlns="ee04ce53-6517-4346-83a0-5640ece72106">
      <Url>https://sowcapt.sharepoint.com/sites/dados/_layouts/15/DocIdRedir.aspx?ID=TTRWAPTVDHCH-230250761-101337</Url>
      <Description>TTRWAPTVDHCH-230250761-101337</Description>
    </_dlc_DocIdUrl>
  </documentManagement>
</p:properties>
</file>

<file path=customXml/itemProps1.xml><?xml version="1.0" encoding="utf-8"?>
<ds:datastoreItem xmlns:ds="http://schemas.openxmlformats.org/officeDocument/2006/customXml" ds:itemID="{2B367D2E-37E2-4799-80EA-678539AE85D1}">
  <ds:schemaRefs>
    <ds:schemaRef ds:uri="http://schemas.openxmlformats.org/officeDocument/2006/bibliography"/>
  </ds:schemaRefs>
</ds:datastoreItem>
</file>

<file path=customXml/itemProps2.xml><?xml version="1.0" encoding="utf-8"?>
<ds:datastoreItem xmlns:ds="http://schemas.openxmlformats.org/officeDocument/2006/customXml" ds:itemID="{32AF52EE-58E0-426B-919F-6833D11F4720}"/>
</file>

<file path=customXml/itemProps3.xml><?xml version="1.0" encoding="utf-8"?>
<ds:datastoreItem xmlns:ds="http://schemas.openxmlformats.org/officeDocument/2006/customXml" ds:itemID="{F49D1BA0-8BED-41FD-95D5-EE1198D165D1}"/>
</file>

<file path=customXml/itemProps4.xml><?xml version="1.0" encoding="utf-8"?>
<ds:datastoreItem xmlns:ds="http://schemas.openxmlformats.org/officeDocument/2006/customXml" ds:itemID="{F366134B-DB25-4DFB-A8F1-87E76F15B1AC}"/>
</file>

<file path=customXml/itemProps5.xml><?xml version="1.0" encoding="utf-8"?>
<ds:datastoreItem xmlns:ds="http://schemas.openxmlformats.org/officeDocument/2006/customXml" ds:itemID="{699B1CEA-EDAF-41E7-9485-B7210373F5A4}"/>
</file>

<file path=docProps/app.xml><?xml version="1.0" encoding="utf-8"?>
<Properties xmlns="http://schemas.openxmlformats.org/officeDocument/2006/extended-properties" xmlns:vt="http://schemas.openxmlformats.org/officeDocument/2006/docPropsVTypes">
  <Template>Normal</Template>
  <TotalTime>5</TotalTime>
  <Pages>4</Pages>
  <Words>1078</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bpae</dc:creator>
  <cp:keywords/>
  <dc:description/>
  <cp:lastModifiedBy>Andrea Pitta</cp:lastModifiedBy>
  <cp:revision>4</cp:revision>
  <cp:lastPrinted>2021-12-22T22:18:00Z</cp:lastPrinted>
  <dcterms:created xsi:type="dcterms:W3CDTF">2022-03-08T17:50:00Z</dcterms:created>
  <dcterms:modified xsi:type="dcterms:W3CDTF">2022-03-25T18:05:00Z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0x010100725994DA7C94C549976FE03096BA402A</vt:lpwstr>
  </property>
  <property fmtid="{D5CDD505-2E9C-101B-9397-08002B2CF9AE}" pid="3" name="_dlc_DocIdItemGuid">
    <vt:lpwstr>6287aa75-89f4-485e-80ad-48a86e920ef4</vt:lpwstr>
  </property>
</Properties>
</file>